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75BA2" w:rsidRDefault="00892A8F">
      <w:r>
        <w:t xml:space="preserve">Klasa VI </w:t>
      </w:r>
    </w:p>
    <w:p w:rsidR="00892A8F" w:rsidRDefault="00892A8F">
      <w:r>
        <w:t>Obliczenia w arkuszu kalkulacyjnym</w:t>
      </w:r>
    </w:p>
    <w:p w:rsidR="00892A8F" w:rsidRDefault="00892A8F"/>
    <w:p w:rsidR="00892A8F" w:rsidRPr="00892A8F" w:rsidRDefault="00892A8F" w:rsidP="00892A8F">
      <w:pPr>
        <w:spacing w:after="0" w:line="240" w:lineRule="auto"/>
        <w:rPr>
          <w:rFonts w:ascii="Garamond" w:eastAsia="Times New Roman" w:hAnsi="Garamond" w:cs="Times New Roman"/>
          <w:color w:val="1B1B1B"/>
          <w:sz w:val="24"/>
          <w:szCs w:val="24"/>
          <w:lang w:eastAsia="pl-PL"/>
        </w:rPr>
      </w:pPr>
      <w:r w:rsidRPr="00892A8F">
        <w:rPr>
          <w:rFonts w:ascii="Garamond" w:eastAsia="Times New Roman" w:hAnsi="Garamond" w:cs="Times New Roman"/>
          <w:color w:val="1B1B1B"/>
          <w:sz w:val="24"/>
          <w:szCs w:val="24"/>
          <w:lang w:eastAsia="pl-PL"/>
        </w:rPr>
        <w:t>projektowanie formuł.</w:t>
      </w:r>
      <w:r w:rsidRPr="00892A8F">
        <w:rPr>
          <w:rFonts w:ascii="Garamond" w:eastAsia="Times New Roman" w:hAnsi="Garamond" w:cs="Times New Roman"/>
          <w:color w:val="1B1B1B"/>
          <w:sz w:val="24"/>
          <w:szCs w:val="24"/>
          <w:lang w:eastAsia="pl-PL"/>
        </w:rPr>
        <w:br/>
        <w:t>Najprostszymi formułami są działania arytmetyczne. Do ich skonstruowania możesz wykorzystać operatory arytmetyczne:</w:t>
      </w:r>
    </w:p>
    <w:p w:rsidR="00892A8F" w:rsidRPr="00892A8F" w:rsidRDefault="00892A8F" w:rsidP="00892A8F">
      <w:pPr>
        <w:numPr>
          <w:ilvl w:val="0"/>
          <w:numId w:val="1"/>
        </w:numPr>
        <w:spacing w:after="0" w:line="240" w:lineRule="auto"/>
        <w:ind w:left="0"/>
        <w:rPr>
          <w:rFonts w:ascii="Garamond" w:eastAsia="Times New Roman" w:hAnsi="Garamond" w:cs="Times New Roman"/>
          <w:color w:val="1B1B1B"/>
          <w:sz w:val="24"/>
          <w:szCs w:val="24"/>
          <w:lang w:eastAsia="pl-PL"/>
        </w:rPr>
      </w:pPr>
      <w:r w:rsidRPr="00892A8F">
        <w:rPr>
          <w:rFonts w:ascii="Garamond" w:eastAsia="Times New Roman" w:hAnsi="Garamond" w:cs="Times New Roman"/>
          <w:color w:val="1B1B1B"/>
          <w:sz w:val="24"/>
          <w:szCs w:val="24"/>
          <w:lang w:eastAsia="pl-PL"/>
        </w:rPr>
        <w:t>= (równa się) – rozpoczyna wszystkie działania, formuły,</w:t>
      </w:r>
    </w:p>
    <w:p w:rsidR="00892A8F" w:rsidRPr="00892A8F" w:rsidRDefault="00892A8F" w:rsidP="00892A8F">
      <w:pPr>
        <w:numPr>
          <w:ilvl w:val="0"/>
          <w:numId w:val="1"/>
        </w:numPr>
        <w:spacing w:after="0" w:line="240" w:lineRule="auto"/>
        <w:ind w:left="0"/>
        <w:rPr>
          <w:rFonts w:ascii="Garamond" w:eastAsia="Times New Roman" w:hAnsi="Garamond" w:cs="Times New Roman"/>
          <w:color w:val="1B1B1B"/>
          <w:sz w:val="24"/>
          <w:szCs w:val="24"/>
          <w:lang w:eastAsia="pl-PL"/>
        </w:rPr>
      </w:pPr>
    </w:p>
    <w:p w:rsidR="00892A8F" w:rsidRPr="00892A8F" w:rsidRDefault="00892A8F" w:rsidP="00892A8F">
      <w:pPr>
        <w:numPr>
          <w:ilvl w:val="1"/>
          <w:numId w:val="1"/>
        </w:numPr>
        <w:spacing w:after="0" w:line="240" w:lineRule="auto"/>
        <w:ind w:left="0"/>
        <w:rPr>
          <w:rFonts w:ascii="Garamond" w:eastAsia="Times New Roman" w:hAnsi="Garamond" w:cs="Times New Roman"/>
          <w:color w:val="1B1B1B"/>
          <w:sz w:val="24"/>
          <w:szCs w:val="24"/>
          <w:lang w:eastAsia="pl-PL"/>
        </w:rPr>
      </w:pPr>
      <w:r w:rsidRPr="00892A8F">
        <w:rPr>
          <w:rFonts w:ascii="Garamond" w:eastAsia="Times New Roman" w:hAnsi="Garamond" w:cs="Times New Roman"/>
          <w:color w:val="1B1B1B"/>
          <w:sz w:val="24"/>
          <w:szCs w:val="24"/>
          <w:lang w:eastAsia="pl-PL"/>
        </w:rPr>
        <w:t>(plus) – dodawanie (suma),</w:t>
      </w:r>
    </w:p>
    <w:p w:rsidR="00892A8F" w:rsidRPr="00892A8F" w:rsidRDefault="00892A8F" w:rsidP="00892A8F">
      <w:pPr>
        <w:numPr>
          <w:ilvl w:val="0"/>
          <w:numId w:val="1"/>
        </w:numPr>
        <w:spacing w:after="0" w:line="240" w:lineRule="auto"/>
        <w:ind w:left="0"/>
        <w:rPr>
          <w:rFonts w:ascii="Garamond" w:eastAsia="Times New Roman" w:hAnsi="Garamond" w:cs="Times New Roman"/>
          <w:color w:val="1B1B1B"/>
          <w:sz w:val="24"/>
          <w:szCs w:val="24"/>
          <w:lang w:eastAsia="pl-PL"/>
        </w:rPr>
      </w:pPr>
      <w:r w:rsidRPr="00892A8F">
        <w:rPr>
          <w:rFonts w:ascii="Garamond" w:eastAsia="Times New Roman" w:hAnsi="Garamond" w:cs="Times New Roman"/>
          <w:color w:val="1B1B1B"/>
          <w:sz w:val="24"/>
          <w:szCs w:val="24"/>
          <w:lang w:eastAsia="pl-PL"/>
        </w:rPr>
        <w:t>- (minus) – odejmowanie (różnica),</w:t>
      </w:r>
    </w:p>
    <w:p w:rsidR="00892A8F" w:rsidRPr="00892A8F" w:rsidRDefault="00892A8F" w:rsidP="00892A8F">
      <w:pPr>
        <w:numPr>
          <w:ilvl w:val="0"/>
          <w:numId w:val="1"/>
        </w:numPr>
        <w:spacing w:after="0" w:line="240" w:lineRule="auto"/>
        <w:ind w:left="0"/>
        <w:rPr>
          <w:rFonts w:ascii="Garamond" w:eastAsia="Times New Roman" w:hAnsi="Garamond" w:cs="Times New Roman"/>
          <w:color w:val="1B1B1B"/>
          <w:sz w:val="24"/>
          <w:szCs w:val="24"/>
          <w:lang w:eastAsia="pl-PL"/>
        </w:rPr>
      </w:pPr>
      <w:r w:rsidRPr="00892A8F">
        <w:rPr>
          <w:rFonts w:ascii="Garamond" w:eastAsia="Times New Roman" w:hAnsi="Garamond" w:cs="Times New Roman"/>
          <w:color w:val="1B1B1B"/>
          <w:sz w:val="24"/>
          <w:szCs w:val="24"/>
          <w:lang w:eastAsia="pl-PL"/>
        </w:rPr>
        <w:t>(gwiazdka) – mnożenie (iloczyn),</w:t>
      </w:r>
    </w:p>
    <w:p w:rsidR="00892A8F" w:rsidRPr="00892A8F" w:rsidRDefault="00892A8F" w:rsidP="00892A8F">
      <w:pPr>
        <w:numPr>
          <w:ilvl w:val="0"/>
          <w:numId w:val="1"/>
        </w:numPr>
        <w:spacing w:after="0" w:line="240" w:lineRule="auto"/>
        <w:ind w:left="0"/>
        <w:rPr>
          <w:rFonts w:ascii="Garamond" w:eastAsia="Times New Roman" w:hAnsi="Garamond" w:cs="Times New Roman"/>
          <w:color w:val="1B1B1B"/>
          <w:sz w:val="24"/>
          <w:szCs w:val="24"/>
          <w:lang w:eastAsia="pl-PL"/>
        </w:rPr>
      </w:pPr>
      <w:r w:rsidRPr="00892A8F">
        <w:rPr>
          <w:rFonts w:ascii="Garamond" w:eastAsia="Times New Roman" w:hAnsi="Garamond" w:cs="Times New Roman"/>
          <w:color w:val="1B1B1B"/>
          <w:sz w:val="24"/>
          <w:szCs w:val="24"/>
          <w:lang w:eastAsia="pl-PL"/>
        </w:rPr>
        <w:t>/ (ukośnik w prawo) – dzielenie (iloraz)</w:t>
      </w:r>
    </w:p>
    <w:p w:rsidR="00892A8F" w:rsidRPr="00892A8F" w:rsidRDefault="00892A8F" w:rsidP="00892A8F">
      <w:pPr>
        <w:numPr>
          <w:ilvl w:val="0"/>
          <w:numId w:val="1"/>
        </w:numPr>
        <w:spacing w:after="0" w:line="240" w:lineRule="auto"/>
        <w:ind w:left="0"/>
        <w:rPr>
          <w:rFonts w:ascii="Garamond" w:eastAsia="Times New Roman" w:hAnsi="Garamond" w:cs="Times New Roman"/>
          <w:color w:val="1B1B1B"/>
          <w:sz w:val="24"/>
          <w:szCs w:val="24"/>
          <w:lang w:eastAsia="pl-PL"/>
        </w:rPr>
      </w:pPr>
      <w:r w:rsidRPr="00892A8F">
        <w:rPr>
          <w:rFonts w:ascii="Garamond" w:eastAsia="Times New Roman" w:hAnsi="Garamond" w:cs="Times New Roman"/>
          <w:color w:val="1B1B1B"/>
          <w:sz w:val="24"/>
          <w:szCs w:val="24"/>
          <w:lang w:eastAsia="pl-PL"/>
        </w:rPr>
        <w:t>^ (znak daszka) – potęgowanie,</w:t>
      </w:r>
    </w:p>
    <w:p w:rsidR="00892A8F" w:rsidRPr="00892A8F" w:rsidRDefault="00892A8F" w:rsidP="00892A8F">
      <w:pPr>
        <w:numPr>
          <w:ilvl w:val="0"/>
          <w:numId w:val="1"/>
        </w:numPr>
        <w:spacing w:after="0" w:line="240" w:lineRule="auto"/>
        <w:ind w:left="0"/>
        <w:rPr>
          <w:rFonts w:ascii="Garamond" w:eastAsia="Times New Roman" w:hAnsi="Garamond" w:cs="Times New Roman"/>
          <w:color w:val="1B1B1B"/>
          <w:sz w:val="24"/>
          <w:szCs w:val="24"/>
          <w:lang w:eastAsia="pl-PL"/>
        </w:rPr>
      </w:pPr>
      <w:r w:rsidRPr="00892A8F">
        <w:rPr>
          <w:rFonts w:ascii="Garamond" w:eastAsia="Times New Roman" w:hAnsi="Garamond" w:cs="Times New Roman"/>
          <w:color w:val="1B1B1B"/>
          <w:sz w:val="24"/>
          <w:szCs w:val="24"/>
          <w:lang w:eastAsia="pl-PL"/>
        </w:rPr>
        <w:t>( ) (nawiasy zwykłe).</w:t>
      </w:r>
    </w:p>
    <w:p w:rsidR="00892A8F" w:rsidRPr="00892A8F" w:rsidRDefault="00892A8F" w:rsidP="00892A8F">
      <w:pPr>
        <w:spacing w:before="100" w:beforeAutospacing="1" w:after="0" w:line="240" w:lineRule="auto"/>
        <w:rPr>
          <w:rFonts w:ascii="Garamond" w:eastAsia="Times New Roman" w:hAnsi="Garamond" w:cs="Times New Roman"/>
          <w:color w:val="1B1B1B"/>
          <w:sz w:val="24"/>
          <w:szCs w:val="24"/>
          <w:lang w:eastAsia="pl-PL"/>
        </w:rPr>
      </w:pPr>
      <w:r w:rsidRPr="00892A8F">
        <w:rPr>
          <w:rFonts w:ascii="Garamond" w:eastAsia="Times New Roman" w:hAnsi="Garamond" w:cs="Times New Roman"/>
          <w:color w:val="1B1B1B"/>
          <w:sz w:val="24"/>
          <w:szCs w:val="24"/>
          <w:lang w:eastAsia="pl-PL"/>
        </w:rPr>
        <w:t>Projektując formuły pamiętaj, aby do ich budowania wykorzystywać adresy komórek, w których znajdują się określone liczby, nie zaś bezpośrednio te liczby. Na przykład formuła: „=A1+B1” sumuje wartości, wstawione do komórek A1 i B1.</w:t>
      </w:r>
      <w:r w:rsidRPr="00892A8F">
        <w:rPr>
          <w:rFonts w:ascii="Garamond" w:eastAsia="Times New Roman" w:hAnsi="Garamond" w:cs="Times New Roman"/>
          <w:color w:val="1B1B1B"/>
          <w:sz w:val="24"/>
          <w:szCs w:val="24"/>
          <w:lang w:eastAsia="pl-PL"/>
        </w:rPr>
        <w:br/>
        <w:t>Do budowania formuł, oprócz operatorów arytmetycznych, możesz wykorzystać dostępne funkcje. Programy do budowania arkuszy kalkulacyjnych mają ich znaczną ilość. Są one podzielone na różne kategorie, np. matematyczne, statystyczne, logiczne, tekstowe. Na początku poznaj najbardziej popularne. Należą do nich:</w:t>
      </w:r>
    </w:p>
    <w:p w:rsidR="00892A8F" w:rsidRPr="00892A8F" w:rsidRDefault="00892A8F" w:rsidP="00892A8F">
      <w:pPr>
        <w:numPr>
          <w:ilvl w:val="0"/>
          <w:numId w:val="2"/>
        </w:numPr>
        <w:spacing w:after="0" w:line="240" w:lineRule="auto"/>
        <w:ind w:left="0"/>
        <w:rPr>
          <w:rFonts w:ascii="Garamond" w:eastAsia="Times New Roman" w:hAnsi="Garamond" w:cs="Times New Roman"/>
          <w:color w:val="1B1B1B"/>
          <w:sz w:val="24"/>
          <w:szCs w:val="24"/>
          <w:lang w:eastAsia="pl-PL"/>
        </w:rPr>
      </w:pPr>
      <w:r w:rsidRPr="00892A8F">
        <w:rPr>
          <w:rFonts w:ascii="Garamond" w:eastAsia="Times New Roman" w:hAnsi="Garamond" w:cs="Times New Roman"/>
          <w:b/>
          <w:bCs/>
          <w:color w:val="1B1B1B"/>
          <w:sz w:val="24"/>
          <w:szCs w:val="24"/>
          <w:lang w:eastAsia="pl-PL"/>
        </w:rPr>
        <w:t>SUMA</w:t>
      </w:r>
      <w:r w:rsidRPr="00892A8F">
        <w:rPr>
          <w:rFonts w:ascii="Garamond" w:eastAsia="Times New Roman" w:hAnsi="Garamond" w:cs="Times New Roman"/>
          <w:color w:val="1B1B1B"/>
          <w:sz w:val="24"/>
          <w:szCs w:val="24"/>
          <w:lang w:eastAsia="pl-PL"/>
        </w:rPr>
        <w:t xml:space="preserve"> – oblicza sumę wielu zaznaczonych komórek lub bloków komórek, szczególnie funkcja ta jest przydatna, gdy liczba komórek jest duża.</w:t>
      </w:r>
    </w:p>
    <w:p w:rsidR="00892A8F" w:rsidRPr="00892A8F" w:rsidRDefault="00892A8F" w:rsidP="00892A8F">
      <w:pPr>
        <w:numPr>
          <w:ilvl w:val="0"/>
          <w:numId w:val="2"/>
        </w:numPr>
        <w:spacing w:after="0" w:line="240" w:lineRule="auto"/>
        <w:ind w:left="0"/>
        <w:rPr>
          <w:rFonts w:ascii="Garamond" w:eastAsia="Times New Roman" w:hAnsi="Garamond" w:cs="Times New Roman"/>
          <w:color w:val="1B1B1B"/>
          <w:sz w:val="24"/>
          <w:szCs w:val="24"/>
          <w:lang w:eastAsia="pl-PL"/>
        </w:rPr>
      </w:pPr>
      <w:r w:rsidRPr="00892A8F">
        <w:rPr>
          <w:rFonts w:ascii="Garamond" w:eastAsia="Times New Roman" w:hAnsi="Garamond" w:cs="Times New Roman"/>
          <w:b/>
          <w:bCs/>
          <w:color w:val="1B1B1B"/>
          <w:sz w:val="24"/>
          <w:szCs w:val="24"/>
          <w:lang w:eastAsia="pl-PL"/>
        </w:rPr>
        <w:t>ŚREDNIA</w:t>
      </w:r>
      <w:r w:rsidRPr="00892A8F">
        <w:rPr>
          <w:rFonts w:ascii="Garamond" w:eastAsia="Times New Roman" w:hAnsi="Garamond" w:cs="Times New Roman"/>
          <w:color w:val="1B1B1B"/>
          <w:sz w:val="24"/>
          <w:szCs w:val="24"/>
          <w:lang w:eastAsia="pl-PL"/>
        </w:rPr>
        <w:t xml:space="preserve"> – oblicza średnią liczb z wielu zaznaczonych komórek, np.: oblicza średnią ocen.</w:t>
      </w:r>
    </w:p>
    <w:p w:rsidR="00892A8F" w:rsidRPr="00892A8F" w:rsidRDefault="00892A8F" w:rsidP="00892A8F">
      <w:pPr>
        <w:numPr>
          <w:ilvl w:val="0"/>
          <w:numId w:val="2"/>
        </w:numPr>
        <w:spacing w:after="0" w:line="240" w:lineRule="auto"/>
        <w:ind w:left="0"/>
        <w:rPr>
          <w:rFonts w:ascii="Garamond" w:eastAsia="Times New Roman" w:hAnsi="Garamond" w:cs="Times New Roman"/>
          <w:color w:val="1B1B1B"/>
          <w:sz w:val="24"/>
          <w:szCs w:val="24"/>
          <w:lang w:eastAsia="pl-PL"/>
        </w:rPr>
      </w:pPr>
      <w:r w:rsidRPr="00892A8F">
        <w:rPr>
          <w:rFonts w:ascii="Garamond" w:eastAsia="Times New Roman" w:hAnsi="Garamond" w:cs="Times New Roman"/>
          <w:b/>
          <w:bCs/>
          <w:color w:val="1B1B1B"/>
          <w:sz w:val="24"/>
          <w:szCs w:val="24"/>
          <w:lang w:eastAsia="pl-PL"/>
        </w:rPr>
        <w:t>MAX</w:t>
      </w:r>
      <w:r w:rsidRPr="00892A8F">
        <w:rPr>
          <w:rFonts w:ascii="Garamond" w:eastAsia="Times New Roman" w:hAnsi="Garamond" w:cs="Times New Roman"/>
          <w:color w:val="1B1B1B"/>
          <w:sz w:val="24"/>
          <w:szCs w:val="24"/>
          <w:lang w:eastAsia="pl-PL"/>
        </w:rPr>
        <w:t xml:space="preserve"> – znajduje największą wartość z zaznaczonego obszaru komórek.</w:t>
      </w:r>
    </w:p>
    <w:p w:rsidR="00892A8F" w:rsidRPr="00892A8F" w:rsidRDefault="00892A8F" w:rsidP="00892A8F">
      <w:pPr>
        <w:numPr>
          <w:ilvl w:val="0"/>
          <w:numId w:val="2"/>
        </w:numPr>
        <w:spacing w:after="0" w:line="240" w:lineRule="auto"/>
        <w:ind w:left="0"/>
        <w:rPr>
          <w:rFonts w:ascii="Garamond" w:eastAsia="Times New Roman" w:hAnsi="Garamond" w:cs="Times New Roman"/>
          <w:color w:val="1B1B1B"/>
          <w:sz w:val="24"/>
          <w:szCs w:val="24"/>
          <w:lang w:eastAsia="pl-PL"/>
        </w:rPr>
      </w:pPr>
      <w:r w:rsidRPr="00892A8F">
        <w:rPr>
          <w:rFonts w:ascii="Garamond" w:eastAsia="Times New Roman" w:hAnsi="Garamond" w:cs="Times New Roman"/>
          <w:b/>
          <w:bCs/>
          <w:color w:val="1B1B1B"/>
          <w:sz w:val="24"/>
          <w:szCs w:val="24"/>
          <w:lang w:eastAsia="pl-PL"/>
        </w:rPr>
        <w:t>MIN</w:t>
      </w:r>
      <w:r w:rsidRPr="00892A8F">
        <w:rPr>
          <w:rFonts w:ascii="Garamond" w:eastAsia="Times New Roman" w:hAnsi="Garamond" w:cs="Times New Roman"/>
          <w:color w:val="1B1B1B"/>
          <w:sz w:val="24"/>
          <w:szCs w:val="24"/>
          <w:lang w:eastAsia="pl-PL"/>
        </w:rPr>
        <w:t xml:space="preserve"> – znajduje najmniejszą wartość z zaznaczonego obszaru komórek.</w:t>
      </w:r>
    </w:p>
    <w:p w:rsidR="00892A8F" w:rsidRDefault="00892A8F"/>
    <w:p w:rsidR="00892A8F" w:rsidRPr="00892A8F" w:rsidRDefault="00892A8F" w:rsidP="00892A8F">
      <w:pPr>
        <w:spacing w:after="0" w:line="240" w:lineRule="auto"/>
        <w:rPr>
          <w:rFonts w:ascii="Lato" w:eastAsia="Times New Roman" w:hAnsi="Lato" w:cs="Times New Roman"/>
          <w:b/>
          <w:bCs/>
          <w:color w:val="1B1B1B"/>
          <w:sz w:val="24"/>
          <w:szCs w:val="24"/>
          <w:lang w:eastAsia="pl-PL"/>
        </w:rPr>
      </w:pPr>
      <w:r w:rsidRPr="00892A8F">
        <w:rPr>
          <w:rFonts w:ascii="Lato" w:eastAsia="Times New Roman" w:hAnsi="Lato" w:cs="Times New Roman"/>
          <w:b/>
          <w:bCs/>
          <w:color w:val="1B1B1B"/>
          <w:sz w:val="24"/>
          <w:szCs w:val="24"/>
          <w:lang w:eastAsia="pl-PL"/>
        </w:rPr>
        <w:t>Ćwiczenie 1</w:t>
      </w:r>
    </w:p>
    <w:p w:rsidR="00892A8F" w:rsidRPr="00892A8F" w:rsidRDefault="00892A8F" w:rsidP="00892A8F">
      <w:pPr>
        <w:spacing w:after="0" w:line="240" w:lineRule="auto"/>
        <w:rPr>
          <w:rFonts w:ascii="Garamond" w:eastAsia="Times New Roman" w:hAnsi="Garamond" w:cs="Times New Roman"/>
          <w:color w:val="1B1B1B"/>
          <w:sz w:val="24"/>
          <w:szCs w:val="24"/>
          <w:lang w:eastAsia="pl-PL"/>
        </w:rPr>
      </w:pPr>
      <w:r w:rsidRPr="00892A8F">
        <w:rPr>
          <w:rFonts w:ascii="Garamond" w:eastAsia="Times New Roman" w:hAnsi="Garamond" w:cs="Times New Roman"/>
          <w:color w:val="1B1B1B"/>
          <w:sz w:val="24"/>
          <w:szCs w:val="24"/>
          <w:lang w:eastAsia="pl-PL"/>
        </w:rPr>
        <w:t>Za pomocą arkusza kalkulacyjnego oblicz koszt jednodniowej wycieczki do wybranego miejsca w twoim rejonie. W tym celu zbuduj w arkuszu kalkulacyjnym tabelę, która może być wzorowana na przedstawionej poniżej..</w:t>
      </w:r>
    </w:p>
    <w:p w:rsidR="00892A8F" w:rsidRDefault="00892A8F" w:rsidP="00892A8F">
      <w:pPr>
        <w:spacing w:after="0" w:line="240" w:lineRule="auto"/>
        <w:rPr>
          <w:rFonts w:ascii="Lato" w:eastAsia="Times New Roman" w:hAnsi="Lato" w:cs="Times New Roman"/>
          <w:color w:val="1B1B1B"/>
          <w:sz w:val="24"/>
          <w:szCs w:val="24"/>
          <w:lang w:eastAsia="pl-PL"/>
        </w:rPr>
      </w:pPr>
      <w:r w:rsidRPr="00892A8F">
        <w:rPr>
          <w:rFonts w:ascii="Lato" w:eastAsia="Times New Roman" w:hAnsi="Lato" w:cs="Times New Roman"/>
          <w:noProof/>
          <w:color w:val="1B1B1B"/>
          <w:sz w:val="24"/>
          <w:szCs w:val="24"/>
          <w:lang w:eastAsia="pl-PL"/>
        </w:rPr>
        <w:drawing>
          <wp:inline distT="0" distB="0" distL="0" distR="0" wp14:anchorId="3CC46E0A" wp14:editId="56BE45A8">
            <wp:extent cx="4918186" cy="2598420"/>
            <wp:effectExtent l="0" t="0" r="0" b="0"/>
            <wp:docPr id="1" name="Obraz 1" descr="Zrzut tabeli: Koszt dwudniowej wyciec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rzut tabeli: Koszt dwudniowej wycieczki"/>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23229" cy="2601084"/>
                    </a:xfrm>
                    <a:prstGeom prst="rect">
                      <a:avLst/>
                    </a:prstGeom>
                    <a:noFill/>
                    <a:ln>
                      <a:noFill/>
                    </a:ln>
                  </pic:spPr>
                </pic:pic>
              </a:graphicData>
            </a:graphic>
          </wp:inline>
        </w:drawing>
      </w:r>
    </w:p>
    <w:p w:rsidR="00892A8F" w:rsidRDefault="00892A8F" w:rsidP="00892A8F">
      <w:pPr>
        <w:spacing w:after="0" w:line="240" w:lineRule="auto"/>
        <w:rPr>
          <w:rFonts w:ascii="Lato" w:eastAsia="Times New Roman" w:hAnsi="Lato" w:cs="Times New Roman"/>
          <w:color w:val="1B1B1B"/>
          <w:sz w:val="24"/>
          <w:szCs w:val="24"/>
          <w:lang w:eastAsia="pl-PL"/>
        </w:rPr>
      </w:pPr>
      <w:r>
        <w:rPr>
          <w:rFonts w:ascii="Lato" w:eastAsia="Times New Roman" w:hAnsi="Lato" w:cs="Times New Roman"/>
          <w:color w:val="1B1B1B"/>
          <w:sz w:val="24"/>
          <w:szCs w:val="24"/>
          <w:lang w:eastAsia="pl-PL"/>
        </w:rPr>
        <w:t xml:space="preserve">Zastosuj formuły do obliczeń. </w:t>
      </w:r>
    </w:p>
    <w:p w:rsidR="00892A8F" w:rsidRPr="00892A8F" w:rsidRDefault="00892A8F" w:rsidP="00892A8F">
      <w:pPr>
        <w:spacing w:after="0" w:line="240" w:lineRule="auto"/>
        <w:rPr>
          <w:rFonts w:ascii="Lato" w:eastAsia="Times New Roman" w:hAnsi="Lato" w:cs="Times New Roman"/>
          <w:color w:val="1B1B1B"/>
          <w:sz w:val="24"/>
          <w:szCs w:val="24"/>
          <w:lang w:eastAsia="pl-PL"/>
        </w:rPr>
      </w:pPr>
      <w:r>
        <w:rPr>
          <w:rFonts w:ascii="Lato" w:eastAsia="Times New Roman" w:hAnsi="Lato" w:cs="Times New Roman"/>
          <w:color w:val="1B1B1B"/>
          <w:sz w:val="24"/>
          <w:szCs w:val="24"/>
          <w:lang w:eastAsia="pl-PL"/>
        </w:rPr>
        <w:lastRenderedPageBreak/>
        <w:t xml:space="preserve">Zapisz plik i wyślij na adres </w:t>
      </w:r>
      <w:hyperlink r:id="rId6" w:history="1">
        <w:r w:rsidRPr="00D971A1">
          <w:rPr>
            <w:rStyle w:val="Hipercze"/>
            <w:rFonts w:ascii="Lato" w:eastAsia="Times New Roman" w:hAnsi="Lato" w:cs="Times New Roman"/>
            <w:sz w:val="24"/>
            <w:szCs w:val="24"/>
            <w:lang w:eastAsia="pl-PL"/>
          </w:rPr>
          <w:t>geografia.informatyka@interia.pl</w:t>
        </w:r>
      </w:hyperlink>
      <w:r>
        <w:rPr>
          <w:rFonts w:ascii="Lato" w:eastAsia="Times New Roman" w:hAnsi="Lato" w:cs="Times New Roman"/>
          <w:color w:val="1B1B1B"/>
          <w:sz w:val="24"/>
          <w:szCs w:val="24"/>
          <w:lang w:eastAsia="pl-PL"/>
        </w:rPr>
        <w:t xml:space="preserve"> ( Nie zapomnij podpisać listu!)</w:t>
      </w:r>
    </w:p>
    <w:p w:rsidR="00892A8F" w:rsidRDefault="00892A8F"/>
    <w:sectPr w:rsidR="00892A8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Garamond">
    <w:panose1 w:val="02020404030301010803"/>
    <w:charset w:val="EE"/>
    <w:family w:val="roman"/>
    <w:pitch w:val="variable"/>
    <w:sig w:usb0="00000287" w:usb1="00000000" w:usb2="00000000" w:usb3="00000000" w:csb0="0000009F" w:csb1="00000000"/>
  </w:font>
  <w:font w:name="Lato">
    <w:panose1 w:val="020F0502020204030203"/>
    <w:charset w:val="EE"/>
    <w:family w:val="swiss"/>
    <w:pitch w:val="variable"/>
    <w:sig w:usb0="A00000AF" w:usb1="5000604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C64FC4"/>
    <w:multiLevelType w:val="multilevel"/>
    <w:tmpl w:val="99A4D8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C52319B"/>
    <w:multiLevelType w:val="multilevel"/>
    <w:tmpl w:val="ABF2D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A8F"/>
    <w:rsid w:val="00075BA2"/>
    <w:rsid w:val="00892A8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289CF"/>
  <w15:chartTrackingRefBased/>
  <w15:docId w15:val="{351081C5-5CE0-4E87-AC5E-D99CCC283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nimation-ready">
    <w:name w:val="animation-ready"/>
    <w:basedOn w:val="Normalny"/>
    <w:rsid w:val="00892A8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ormalnyWeb">
    <w:name w:val="Normal (Web)"/>
    <w:basedOn w:val="Normalny"/>
    <w:uiPriority w:val="99"/>
    <w:semiHidden/>
    <w:unhideWhenUsed/>
    <w:rsid w:val="00892A8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892A8F"/>
    <w:rPr>
      <w:b/>
      <w:bCs/>
    </w:rPr>
  </w:style>
  <w:style w:type="character" w:customStyle="1" w:styleId="sr-only">
    <w:name w:val="sr-only"/>
    <w:basedOn w:val="Domylnaczcionkaakapitu"/>
    <w:rsid w:val="00892A8F"/>
  </w:style>
  <w:style w:type="character" w:customStyle="1" w:styleId="ref--before">
    <w:name w:val="ref--before"/>
    <w:basedOn w:val="Domylnaczcionkaakapitu"/>
    <w:rsid w:val="00892A8F"/>
  </w:style>
  <w:style w:type="character" w:styleId="Hipercze">
    <w:name w:val="Hyperlink"/>
    <w:basedOn w:val="Domylnaczcionkaakapitu"/>
    <w:uiPriority w:val="99"/>
    <w:unhideWhenUsed/>
    <w:rsid w:val="00892A8F"/>
    <w:rPr>
      <w:color w:val="0563C1" w:themeColor="hyperlink"/>
      <w:u w:val="single"/>
    </w:rPr>
  </w:style>
  <w:style w:type="character" w:styleId="Nierozpoznanawzmianka">
    <w:name w:val="Unresolved Mention"/>
    <w:basedOn w:val="Domylnaczcionkaakapitu"/>
    <w:uiPriority w:val="99"/>
    <w:semiHidden/>
    <w:unhideWhenUsed/>
    <w:rsid w:val="00892A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7064462">
      <w:bodyDiv w:val="1"/>
      <w:marLeft w:val="0"/>
      <w:marRight w:val="0"/>
      <w:marTop w:val="0"/>
      <w:marBottom w:val="0"/>
      <w:divBdr>
        <w:top w:val="none" w:sz="0" w:space="0" w:color="auto"/>
        <w:left w:val="none" w:sz="0" w:space="0" w:color="auto"/>
        <w:bottom w:val="none" w:sz="0" w:space="0" w:color="auto"/>
        <w:right w:val="none" w:sz="0" w:space="0" w:color="auto"/>
      </w:divBdr>
      <w:divsChild>
        <w:div w:id="336811969">
          <w:marLeft w:val="0"/>
          <w:marRight w:val="0"/>
          <w:marTop w:val="0"/>
          <w:marBottom w:val="0"/>
          <w:divBdr>
            <w:top w:val="none" w:sz="0" w:space="0" w:color="auto"/>
            <w:left w:val="none" w:sz="0" w:space="0" w:color="auto"/>
            <w:bottom w:val="none" w:sz="0" w:space="0" w:color="auto"/>
            <w:right w:val="none" w:sz="0" w:space="0" w:color="auto"/>
          </w:divBdr>
          <w:divsChild>
            <w:div w:id="1106576291">
              <w:marLeft w:val="0"/>
              <w:marRight w:val="0"/>
              <w:marTop w:val="0"/>
              <w:marBottom w:val="0"/>
              <w:divBdr>
                <w:top w:val="none" w:sz="0" w:space="0" w:color="auto"/>
                <w:left w:val="none" w:sz="0" w:space="0" w:color="auto"/>
                <w:bottom w:val="none" w:sz="0" w:space="0" w:color="auto"/>
                <w:right w:val="none" w:sz="0" w:space="0" w:color="auto"/>
              </w:divBdr>
            </w:div>
            <w:div w:id="31773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1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geografia.informatyka@interia.pl"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248</Words>
  <Characters>1489</Characters>
  <Application>Microsoft Office Word</Application>
  <DocSecurity>0</DocSecurity>
  <Lines>12</Lines>
  <Paragraphs>3</Paragraphs>
  <ScaleCrop>false</ScaleCrop>
  <Company/>
  <LinksUpToDate>false</LinksUpToDate>
  <CharactersWithSpaces>1734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Krzysztof Ch</dc:creator>
  <cp:keywords/>
  <dc:description/>
  <cp:lastModifiedBy>Krzysztof Ch</cp:lastModifiedBy>
  <cp:revision>1</cp:revision>
  <dcterms:created xsi:type="dcterms:W3CDTF">2020-05-03T14:05:00Z</dcterms:created>
  <dcterms:modified xsi:type="dcterms:W3CDTF">2020-05-03T14:12:00Z</dcterms:modified>
</cp:coreProperties>
</file>